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10634" w14:textId="77777777" w:rsidR="00733190" w:rsidRDefault="00F11E16">
      <w:pPr>
        <w:rPr>
          <w:sz w:val="22"/>
          <w:szCs w:val="22"/>
        </w:rPr>
      </w:pPr>
      <w:r>
        <w:rPr>
          <w:sz w:val="22"/>
          <w:szCs w:val="22"/>
        </w:rPr>
        <w:t>Sollerö Gemensamhetsskog</w:t>
      </w:r>
    </w:p>
    <w:p w14:paraId="0B079A3D" w14:textId="77777777" w:rsidR="00733190" w:rsidRDefault="00F11E16">
      <w:pPr>
        <w:rPr>
          <w:sz w:val="22"/>
          <w:szCs w:val="22"/>
        </w:rPr>
      </w:pPr>
      <w:proofErr w:type="spellStart"/>
      <w:r>
        <w:rPr>
          <w:sz w:val="22"/>
          <w:szCs w:val="22"/>
        </w:rPr>
        <w:t>Siljansvägen</w:t>
      </w:r>
      <w:proofErr w:type="spellEnd"/>
      <w:r>
        <w:rPr>
          <w:sz w:val="22"/>
          <w:szCs w:val="22"/>
        </w:rPr>
        <w:t xml:space="preserve"> 17</w:t>
      </w:r>
    </w:p>
    <w:p w14:paraId="3DB4C31E" w14:textId="77777777" w:rsidR="00733190" w:rsidRDefault="00F11E16">
      <w:pPr>
        <w:rPr>
          <w:sz w:val="22"/>
          <w:szCs w:val="22"/>
        </w:rPr>
      </w:pPr>
      <w:r>
        <w:rPr>
          <w:sz w:val="22"/>
          <w:szCs w:val="22"/>
        </w:rPr>
        <w:t>792 90 Sollerön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Örebro 2022-03-30</w:t>
      </w:r>
    </w:p>
    <w:p w14:paraId="5AAE3AA3" w14:textId="77777777" w:rsidR="00733190" w:rsidRDefault="00733190">
      <w:pPr>
        <w:rPr>
          <w:sz w:val="22"/>
          <w:szCs w:val="22"/>
        </w:rPr>
      </w:pPr>
    </w:p>
    <w:p w14:paraId="690C748D" w14:textId="77777777" w:rsidR="00733190" w:rsidRDefault="00F11E16">
      <w:pPr>
        <w:rPr>
          <w:sz w:val="22"/>
          <w:szCs w:val="22"/>
        </w:rPr>
      </w:pPr>
      <w:r>
        <w:rPr>
          <w:sz w:val="22"/>
          <w:szCs w:val="22"/>
        </w:rPr>
        <w:t xml:space="preserve">Motion till </w:t>
      </w:r>
      <w:r>
        <w:rPr>
          <w:sz w:val="22"/>
          <w:szCs w:val="22"/>
        </w:rPr>
        <w:t>Sollerö Gemensamhetsskogs Samfällighetsförenings årsstämma 2022</w:t>
      </w:r>
    </w:p>
    <w:p w14:paraId="1DE0304C" w14:textId="77777777" w:rsidR="00733190" w:rsidRDefault="00733190">
      <w:pPr>
        <w:rPr>
          <w:sz w:val="22"/>
          <w:szCs w:val="22"/>
        </w:rPr>
      </w:pPr>
    </w:p>
    <w:p w14:paraId="3CA99CBD" w14:textId="77777777" w:rsidR="00733190" w:rsidRDefault="00F11E16">
      <w:pPr>
        <w:rPr>
          <w:sz w:val="22"/>
          <w:szCs w:val="22"/>
        </w:rPr>
      </w:pPr>
      <w:r>
        <w:rPr>
          <w:sz w:val="22"/>
          <w:szCs w:val="22"/>
        </w:rPr>
        <w:t>Avveckla gemensamhetsskogen</w:t>
      </w:r>
    </w:p>
    <w:p w14:paraId="51EEE34A" w14:textId="77777777" w:rsidR="00733190" w:rsidRDefault="00733190">
      <w:pPr>
        <w:rPr>
          <w:sz w:val="22"/>
          <w:szCs w:val="22"/>
        </w:rPr>
      </w:pPr>
    </w:p>
    <w:p w14:paraId="5492658C" w14:textId="77777777" w:rsidR="00733190" w:rsidRDefault="00F11E16">
      <w:pPr>
        <w:rPr>
          <w:sz w:val="22"/>
          <w:szCs w:val="22"/>
        </w:rPr>
      </w:pPr>
      <w:r>
        <w:rPr>
          <w:sz w:val="22"/>
          <w:szCs w:val="22"/>
        </w:rPr>
        <w:t xml:space="preserve">På 60-talet genomfördes laga skifte på Sollerön. Det </w:t>
      </w:r>
      <w:r>
        <w:rPr>
          <w:sz w:val="22"/>
          <w:szCs w:val="22"/>
        </w:rPr>
        <w:t>anpassades till det samhälle som var då. De flesta fastighetsägarna i Sollerö socken bodde på sina fastigheter och ett flertal livnärde sig på jordbruk på sommaren och skogsbruk på vintern. Det fanns alltså anledning att skapa en marksamfällighet (gemensam</w:t>
      </w:r>
      <w:r>
        <w:rPr>
          <w:sz w:val="22"/>
          <w:szCs w:val="22"/>
        </w:rPr>
        <w:t>hetsskogen) för att underlätta finansieringen och driften av de många skogsvägar som rustades upp vid denna tidpunkt.</w:t>
      </w:r>
    </w:p>
    <w:p w14:paraId="0F4E99A2" w14:textId="77777777" w:rsidR="00733190" w:rsidRDefault="00733190">
      <w:pPr>
        <w:rPr>
          <w:sz w:val="22"/>
          <w:szCs w:val="22"/>
        </w:rPr>
      </w:pPr>
    </w:p>
    <w:p w14:paraId="5568934C" w14:textId="77777777" w:rsidR="00733190" w:rsidRDefault="00F11E16">
      <w:pPr>
        <w:rPr>
          <w:sz w:val="22"/>
          <w:szCs w:val="22"/>
        </w:rPr>
      </w:pPr>
      <w:r>
        <w:rPr>
          <w:sz w:val="22"/>
          <w:szCs w:val="22"/>
        </w:rPr>
        <w:t xml:space="preserve">Idag är situationen annorlunda. Ca hälften av andelsägarna i gemensamhetsskogen är utbor och de flesta har arbete utanför jordbruket och </w:t>
      </w:r>
      <w:r>
        <w:rPr>
          <w:sz w:val="22"/>
          <w:szCs w:val="22"/>
        </w:rPr>
        <w:t xml:space="preserve">skogsnäringen. Lantmäteriet skapar inte längre liknande marksamfälligheter som gemensamhetsskogen med ytterst få undantag då ett sådant behov inte längre existerar. Vid liknande </w:t>
      </w:r>
      <w:proofErr w:type="gramStart"/>
      <w:r>
        <w:rPr>
          <w:sz w:val="22"/>
          <w:szCs w:val="22"/>
        </w:rPr>
        <w:t>laga skifte</w:t>
      </w:r>
      <w:proofErr w:type="gramEnd"/>
      <w:r>
        <w:rPr>
          <w:sz w:val="22"/>
          <w:szCs w:val="22"/>
        </w:rPr>
        <w:t xml:space="preserve"> nu för tiden så skiftas hela </w:t>
      </w:r>
      <w:r>
        <w:rPr>
          <w:sz w:val="22"/>
          <w:szCs w:val="22"/>
        </w:rPr>
        <w:t>byns samfällda mark</w:t>
      </w:r>
      <w:r>
        <w:rPr>
          <w:sz w:val="22"/>
          <w:szCs w:val="22"/>
        </w:rPr>
        <w:t xml:space="preserve"> ut på </w:t>
      </w:r>
      <w:proofErr w:type="spellStart"/>
      <w:r>
        <w:rPr>
          <w:sz w:val="22"/>
          <w:szCs w:val="22"/>
        </w:rPr>
        <w:t>resp</w:t>
      </w:r>
      <w:proofErr w:type="spellEnd"/>
      <w:r>
        <w:rPr>
          <w:sz w:val="22"/>
          <w:szCs w:val="22"/>
        </w:rPr>
        <w:t xml:space="preserve"> fastig</w:t>
      </w:r>
      <w:r>
        <w:rPr>
          <w:sz w:val="22"/>
          <w:szCs w:val="22"/>
        </w:rPr>
        <w:t xml:space="preserve">hetsägare istället för att delar sammanförs till något som </w:t>
      </w:r>
      <w:r>
        <w:rPr>
          <w:sz w:val="22"/>
          <w:szCs w:val="22"/>
        </w:rPr>
        <w:t>liknar</w:t>
      </w:r>
      <w:r>
        <w:rPr>
          <w:sz w:val="22"/>
          <w:szCs w:val="22"/>
        </w:rPr>
        <w:t xml:space="preserve"> gemensamhetsskogen.</w:t>
      </w:r>
    </w:p>
    <w:p w14:paraId="27E7B456" w14:textId="77777777" w:rsidR="00733190" w:rsidRDefault="00733190">
      <w:pPr>
        <w:rPr>
          <w:sz w:val="22"/>
          <w:szCs w:val="22"/>
        </w:rPr>
      </w:pPr>
    </w:p>
    <w:p w14:paraId="7EFE0607" w14:textId="77777777" w:rsidR="00733190" w:rsidRDefault="00F11E16">
      <w:pPr>
        <w:rPr>
          <w:sz w:val="22"/>
          <w:szCs w:val="22"/>
        </w:rPr>
      </w:pPr>
      <w:r>
        <w:rPr>
          <w:sz w:val="22"/>
          <w:szCs w:val="22"/>
        </w:rPr>
        <w:t>Ett antal domar i domstol har också fastslagit vad som är lagligt att göra med avkastningen från gemensamhetsskogen. Där står bland annat att bidrag från gemensamhetssko</w:t>
      </w:r>
      <w:r>
        <w:rPr>
          <w:sz w:val="22"/>
          <w:szCs w:val="22"/>
        </w:rPr>
        <w:t xml:space="preserve">gen till olika vägsamfälligheter inte är tillåtet när det finns fastigheter som inte är med i gemensamhetsskogen eller när andra andelsägare inte är med i just dessa vägsamfälligheter. I praktiken så återstår bara att dela ut överskottet till andelsägarna </w:t>
      </w:r>
      <w:r>
        <w:rPr>
          <w:sz w:val="22"/>
          <w:szCs w:val="22"/>
        </w:rPr>
        <w:t>enligt andelstalen.</w:t>
      </w:r>
    </w:p>
    <w:p w14:paraId="723A42FC" w14:textId="77777777" w:rsidR="00733190" w:rsidRDefault="00733190">
      <w:pPr>
        <w:rPr>
          <w:sz w:val="22"/>
          <w:szCs w:val="22"/>
        </w:rPr>
      </w:pPr>
    </w:p>
    <w:p w14:paraId="4028B4E8" w14:textId="77777777" w:rsidR="00733190" w:rsidRDefault="00F11E16">
      <w:pPr>
        <w:rPr>
          <w:sz w:val="22"/>
          <w:szCs w:val="22"/>
        </w:rPr>
      </w:pPr>
      <w:r>
        <w:rPr>
          <w:sz w:val="22"/>
          <w:szCs w:val="22"/>
        </w:rPr>
        <w:t>Data om nuvarande skog enligt skogsbruksplan på hemsidan, 2019.</w:t>
      </w:r>
    </w:p>
    <w:p w14:paraId="74B10FC1" w14:textId="77777777" w:rsidR="00733190" w:rsidRDefault="00F11E16">
      <w:pPr>
        <w:rPr>
          <w:sz w:val="22"/>
          <w:szCs w:val="22"/>
        </w:rPr>
      </w:pPr>
      <w:r>
        <w:rPr>
          <w:sz w:val="22"/>
          <w:szCs w:val="22"/>
        </w:rPr>
        <w:t>Areal</w:t>
      </w:r>
      <w:r>
        <w:rPr>
          <w:sz w:val="22"/>
          <w:szCs w:val="22"/>
        </w:rPr>
        <w:tab/>
      </w:r>
      <w:r>
        <w:rPr>
          <w:sz w:val="22"/>
          <w:szCs w:val="22"/>
        </w:rPr>
        <w:tab/>
      </w:r>
      <w:r>
        <w:rPr>
          <w:sz w:val="22"/>
          <w:szCs w:val="22"/>
        </w:rPr>
        <w:tab/>
        <w:t>1857 ha</w:t>
      </w:r>
    </w:p>
    <w:p w14:paraId="47B65965" w14:textId="77777777" w:rsidR="00733190" w:rsidRDefault="00F11E16">
      <w:pPr>
        <w:rPr>
          <w:sz w:val="22"/>
          <w:szCs w:val="22"/>
        </w:rPr>
      </w:pPr>
      <w:r>
        <w:rPr>
          <w:sz w:val="22"/>
          <w:szCs w:val="22"/>
        </w:rPr>
        <w:t>Produktiv skog</w:t>
      </w:r>
      <w:r>
        <w:rPr>
          <w:sz w:val="22"/>
          <w:szCs w:val="22"/>
        </w:rPr>
        <w:tab/>
      </w:r>
      <w:r>
        <w:rPr>
          <w:sz w:val="22"/>
          <w:szCs w:val="22"/>
        </w:rPr>
        <w:tab/>
        <w:t>1697 ha</w:t>
      </w:r>
    </w:p>
    <w:p w14:paraId="39906251" w14:textId="77777777" w:rsidR="00733190" w:rsidRDefault="00F11E16">
      <w:pPr>
        <w:rPr>
          <w:sz w:val="22"/>
          <w:szCs w:val="22"/>
        </w:rPr>
      </w:pPr>
      <w:r>
        <w:rPr>
          <w:sz w:val="22"/>
          <w:szCs w:val="22"/>
        </w:rPr>
        <w:t>Volym</w:t>
      </w:r>
      <w:r>
        <w:rPr>
          <w:sz w:val="22"/>
          <w:szCs w:val="22"/>
        </w:rPr>
        <w:tab/>
      </w:r>
      <w:r>
        <w:rPr>
          <w:sz w:val="22"/>
          <w:szCs w:val="22"/>
        </w:rPr>
        <w:tab/>
      </w:r>
      <w:r>
        <w:rPr>
          <w:sz w:val="22"/>
          <w:szCs w:val="22"/>
        </w:rPr>
        <w:tab/>
        <w:t>214880 m3sk</w:t>
      </w:r>
    </w:p>
    <w:p w14:paraId="7318831B" w14:textId="77777777" w:rsidR="00733190" w:rsidRDefault="00F11E16">
      <w:pPr>
        <w:rPr>
          <w:sz w:val="22"/>
          <w:szCs w:val="22"/>
        </w:rPr>
      </w:pPr>
      <w:r>
        <w:rPr>
          <w:sz w:val="22"/>
          <w:szCs w:val="22"/>
        </w:rPr>
        <w:t>Volym/ha</w:t>
      </w:r>
      <w:r>
        <w:rPr>
          <w:sz w:val="22"/>
          <w:szCs w:val="22"/>
        </w:rPr>
        <w:tab/>
      </w:r>
      <w:r>
        <w:rPr>
          <w:sz w:val="22"/>
          <w:szCs w:val="22"/>
        </w:rPr>
        <w:tab/>
        <w:t>127 m3sk</w:t>
      </w:r>
    </w:p>
    <w:p w14:paraId="0E6AA02B" w14:textId="77777777" w:rsidR="00733190" w:rsidRDefault="00F11E16">
      <w:pPr>
        <w:rPr>
          <w:sz w:val="22"/>
          <w:szCs w:val="22"/>
        </w:rPr>
      </w:pPr>
      <w:r>
        <w:rPr>
          <w:sz w:val="22"/>
          <w:szCs w:val="22"/>
        </w:rPr>
        <w:t>Medelbonitet</w:t>
      </w:r>
      <w:r>
        <w:rPr>
          <w:sz w:val="22"/>
          <w:szCs w:val="22"/>
        </w:rPr>
        <w:tab/>
      </w:r>
      <w:r>
        <w:rPr>
          <w:sz w:val="22"/>
          <w:szCs w:val="22"/>
        </w:rPr>
        <w:tab/>
        <w:t>3,2 m3sk / ha</w:t>
      </w:r>
    </w:p>
    <w:p w14:paraId="2B8F40C1" w14:textId="77777777" w:rsidR="00733190" w:rsidRDefault="00733190">
      <w:pPr>
        <w:rPr>
          <w:sz w:val="22"/>
          <w:szCs w:val="22"/>
        </w:rPr>
      </w:pPr>
    </w:p>
    <w:p w14:paraId="31B3E942" w14:textId="77777777" w:rsidR="00733190" w:rsidRDefault="00F11E16">
      <w:pPr>
        <w:rPr>
          <w:sz w:val="22"/>
          <w:szCs w:val="22"/>
        </w:rPr>
      </w:pPr>
      <w:r>
        <w:rPr>
          <w:sz w:val="22"/>
          <w:szCs w:val="22"/>
        </w:rPr>
        <w:t>Utdelning till andelsägare har skett de senaste åren. Nedan föl</w:t>
      </w:r>
      <w:r>
        <w:rPr>
          <w:sz w:val="22"/>
          <w:szCs w:val="22"/>
        </w:rPr>
        <w:t xml:space="preserve">jer en sammanställning av utdelningen samt </w:t>
      </w:r>
      <w:r>
        <w:rPr>
          <w:sz w:val="22"/>
          <w:szCs w:val="22"/>
        </w:rPr>
        <w:t>omsättning, bruttovinst, avverkning och ersättning till styrelsen</w:t>
      </w:r>
      <w:r>
        <w:rPr>
          <w:sz w:val="22"/>
          <w:szCs w:val="22"/>
        </w:rPr>
        <w:t xml:space="preserve"> för att driva gemensamhetsskogen.</w:t>
      </w:r>
    </w:p>
    <w:p w14:paraId="5E0844D8" w14:textId="77777777" w:rsidR="00733190" w:rsidRDefault="00733190">
      <w:pPr>
        <w:rPr>
          <w:sz w:val="22"/>
          <w:szCs w:val="22"/>
        </w:rPr>
      </w:pPr>
    </w:p>
    <w:p w14:paraId="7E45F153" w14:textId="77777777" w:rsidR="00733190" w:rsidRDefault="00F11E16">
      <w:pPr>
        <w:rPr>
          <w:sz w:val="22"/>
          <w:szCs w:val="22"/>
        </w:rPr>
      </w:pPr>
      <w:r>
        <w:rPr>
          <w:sz w:val="22"/>
          <w:szCs w:val="22"/>
        </w:rPr>
        <w:t>Sammanställning av vissa poster i mån av tillgång till dessa siffror för gemensamhetsskogen (ej jordägarna)</w:t>
      </w:r>
    </w:p>
    <w:tbl>
      <w:tblPr>
        <w:tblW w:w="9806" w:type="dxa"/>
        <w:tblInd w:w="57" w:type="dxa"/>
        <w:tblLayout w:type="fixed"/>
        <w:tblCellMar>
          <w:top w:w="55" w:type="dxa"/>
          <w:left w:w="55" w:type="dxa"/>
          <w:bottom w:w="55" w:type="dxa"/>
          <w:right w:w="55" w:type="dxa"/>
        </w:tblCellMar>
        <w:tblLook w:val="04A0" w:firstRow="1" w:lastRow="0" w:firstColumn="1" w:lastColumn="0" w:noHBand="0" w:noVBand="1"/>
      </w:tblPr>
      <w:tblGrid>
        <w:gridCol w:w="1470"/>
        <w:gridCol w:w="1283"/>
        <w:gridCol w:w="1378"/>
        <w:gridCol w:w="1379"/>
        <w:gridCol w:w="1374"/>
        <w:gridCol w:w="1563"/>
        <w:gridCol w:w="1359"/>
      </w:tblGrid>
      <w:tr w:rsidR="00733190" w14:paraId="6B42EEB7" w14:textId="77777777">
        <w:tc>
          <w:tcPr>
            <w:tcW w:w="1469" w:type="dxa"/>
            <w:tcBorders>
              <w:top w:val="single" w:sz="2" w:space="0" w:color="000000"/>
              <w:left w:val="single" w:sz="2" w:space="0" w:color="000000"/>
              <w:bottom w:val="single" w:sz="2" w:space="0" w:color="000000"/>
            </w:tcBorders>
          </w:tcPr>
          <w:p w14:paraId="5C47FBB4" w14:textId="77777777" w:rsidR="00733190" w:rsidRDefault="00F11E16">
            <w:pPr>
              <w:pStyle w:val="Tabellinnehll"/>
              <w:rPr>
                <w:sz w:val="22"/>
                <w:szCs w:val="22"/>
              </w:rPr>
            </w:pPr>
            <w:r>
              <w:rPr>
                <w:sz w:val="22"/>
                <w:szCs w:val="22"/>
              </w:rPr>
              <w:t>Räke</w:t>
            </w:r>
            <w:r>
              <w:rPr>
                <w:sz w:val="22"/>
                <w:szCs w:val="22"/>
              </w:rPr>
              <w:t>nskapsår</w:t>
            </w:r>
          </w:p>
        </w:tc>
        <w:tc>
          <w:tcPr>
            <w:tcW w:w="1283" w:type="dxa"/>
            <w:tcBorders>
              <w:top w:val="single" w:sz="2" w:space="0" w:color="000000"/>
              <w:left w:val="single" w:sz="2" w:space="0" w:color="000000"/>
              <w:bottom w:val="single" w:sz="2" w:space="0" w:color="000000"/>
            </w:tcBorders>
          </w:tcPr>
          <w:p w14:paraId="509020A6" w14:textId="77777777" w:rsidR="00733190" w:rsidRDefault="00F11E16">
            <w:pPr>
              <w:pStyle w:val="Tabellinnehll"/>
              <w:rPr>
                <w:sz w:val="22"/>
                <w:szCs w:val="22"/>
              </w:rPr>
            </w:pPr>
            <w:r>
              <w:rPr>
                <w:sz w:val="22"/>
                <w:szCs w:val="22"/>
              </w:rPr>
              <w:t>Omsättning</w:t>
            </w:r>
          </w:p>
        </w:tc>
        <w:tc>
          <w:tcPr>
            <w:tcW w:w="1378" w:type="dxa"/>
            <w:tcBorders>
              <w:top w:val="single" w:sz="2" w:space="0" w:color="000000"/>
              <w:left w:val="single" w:sz="2" w:space="0" w:color="000000"/>
              <w:bottom w:val="single" w:sz="2" w:space="0" w:color="000000"/>
            </w:tcBorders>
          </w:tcPr>
          <w:p w14:paraId="44416E99" w14:textId="77777777" w:rsidR="00733190" w:rsidRDefault="00F11E16">
            <w:pPr>
              <w:pStyle w:val="Tabellinnehll"/>
              <w:rPr>
                <w:sz w:val="22"/>
                <w:szCs w:val="22"/>
              </w:rPr>
            </w:pPr>
            <w:r>
              <w:rPr>
                <w:sz w:val="22"/>
                <w:szCs w:val="22"/>
              </w:rPr>
              <w:t>Bruttovinst</w:t>
            </w:r>
          </w:p>
        </w:tc>
        <w:tc>
          <w:tcPr>
            <w:tcW w:w="1379" w:type="dxa"/>
            <w:tcBorders>
              <w:top w:val="single" w:sz="2" w:space="0" w:color="000000"/>
              <w:left w:val="single" w:sz="2" w:space="0" w:color="000000"/>
              <w:bottom w:val="single" w:sz="2" w:space="0" w:color="000000"/>
            </w:tcBorders>
          </w:tcPr>
          <w:p w14:paraId="1D3CCBCF" w14:textId="77777777" w:rsidR="00733190" w:rsidRDefault="00F11E16">
            <w:pPr>
              <w:pStyle w:val="Tabellinnehll"/>
              <w:rPr>
                <w:sz w:val="22"/>
                <w:szCs w:val="22"/>
              </w:rPr>
            </w:pPr>
            <w:r>
              <w:rPr>
                <w:sz w:val="22"/>
                <w:szCs w:val="22"/>
              </w:rPr>
              <w:t>Utdelning</w:t>
            </w:r>
          </w:p>
        </w:tc>
        <w:tc>
          <w:tcPr>
            <w:tcW w:w="1374" w:type="dxa"/>
            <w:tcBorders>
              <w:top w:val="single" w:sz="2" w:space="0" w:color="000000"/>
              <w:left w:val="single" w:sz="2" w:space="0" w:color="000000"/>
              <w:bottom w:val="single" w:sz="2" w:space="0" w:color="000000"/>
            </w:tcBorders>
          </w:tcPr>
          <w:p w14:paraId="40639113" w14:textId="77777777" w:rsidR="00733190" w:rsidRDefault="00F11E16">
            <w:pPr>
              <w:pStyle w:val="Tabellinnehll"/>
              <w:rPr>
                <w:sz w:val="22"/>
                <w:szCs w:val="22"/>
              </w:rPr>
            </w:pPr>
            <w:r>
              <w:rPr>
                <w:sz w:val="22"/>
                <w:szCs w:val="22"/>
              </w:rPr>
              <w:t>Avverkning</w:t>
            </w:r>
          </w:p>
        </w:tc>
        <w:tc>
          <w:tcPr>
            <w:tcW w:w="1563" w:type="dxa"/>
            <w:tcBorders>
              <w:top w:val="single" w:sz="2" w:space="0" w:color="000000"/>
              <w:left w:val="single" w:sz="2" w:space="0" w:color="000000"/>
              <w:bottom w:val="single" w:sz="2" w:space="0" w:color="000000"/>
            </w:tcBorders>
          </w:tcPr>
          <w:p w14:paraId="46C16DAE" w14:textId="77777777" w:rsidR="00733190" w:rsidRDefault="00F11E16">
            <w:pPr>
              <w:pStyle w:val="Tabellinnehll"/>
              <w:rPr>
                <w:sz w:val="22"/>
                <w:szCs w:val="22"/>
              </w:rPr>
            </w:pPr>
            <w:r>
              <w:rPr>
                <w:sz w:val="22"/>
                <w:szCs w:val="22"/>
              </w:rPr>
              <w:t>Styrelsearvode</w:t>
            </w:r>
          </w:p>
        </w:tc>
        <w:tc>
          <w:tcPr>
            <w:tcW w:w="1359" w:type="dxa"/>
            <w:tcBorders>
              <w:top w:val="single" w:sz="2" w:space="0" w:color="000000"/>
              <w:left w:val="single" w:sz="2" w:space="0" w:color="000000"/>
              <w:bottom w:val="single" w:sz="2" w:space="0" w:color="000000"/>
              <w:right w:val="single" w:sz="2" w:space="0" w:color="000000"/>
            </w:tcBorders>
          </w:tcPr>
          <w:p w14:paraId="059975A5" w14:textId="77777777" w:rsidR="00733190" w:rsidRDefault="00F11E16">
            <w:pPr>
              <w:pStyle w:val="Tabellinnehll"/>
              <w:rPr>
                <w:sz w:val="22"/>
                <w:szCs w:val="22"/>
              </w:rPr>
            </w:pPr>
            <w:r>
              <w:rPr>
                <w:sz w:val="22"/>
                <w:szCs w:val="22"/>
              </w:rPr>
              <w:t>Lönekostnad</w:t>
            </w:r>
          </w:p>
        </w:tc>
      </w:tr>
      <w:tr w:rsidR="00733190" w14:paraId="7EFF5B7F" w14:textId="77777777">
        <w:tc>
          <w:tcPr>
            <w:tcW w:w="1469" w:type="dxa"/>
            <w:tcBorders>
              <w:left w:val="single" w:sz="2" w:space="0" w:color="000000"/>
              <w:bottom w:val="single" w:sz="2" w:space="0" w:color="000000"/>
            </w:tcBorders>
          </w:tcPr>
          <w:p w14:paraId="01CCD008" w14:textId="77777777" w:rsidR="00733190" w:rsidRDefault="00F11E16">
            <w:pPr>
              <w:pStyle w:val="Tabellinnehll"/>
              <w:rPr>
                <w:sz w:val="22"/>
                <w:szCs w:val="22"/>
              </w:rPr>
            </w:pPr>
            <w:r>
              <w:rPr>
                <w:sz w:val="22"/>
                <w:szCs w:val="22"/>
              </w:rPr>
              <w:t>2020</w:t>
            </w:r>
          </w:p>
        </w:tc>
        <w:tc>
          <w:tcPr>
            <w:tcW w:w="1283" w:type="dxa"/>
            <w:tcBorders>
              <w:left w:val="single" w:sz="2" w:space="0" w:color="000000"/>
              <w:bottom w:val="single" w:sz="2" w:space="0" w:color="000000"/>
            </w:tcBorders>
          </w:tcPr>
          <w:p w14:paraId="2955659A" w14:textId="77777777" w:rsidR="00733190" w:rsidRDefault="00F11E16">
            <w:pPr>
              <w:pStyle w:val="Tabellinnehll"/>
              <w:rPr>
                <w:sz w:val="22"/>
                <w:szCs w:val="22"/>
              </w:rPr>
            </w:pPr>
            <w:r>
              <w:rPr>
                <w:sz w:val="22"/>
                <w:szCs w:val="22"/>
              </w:rPr>
              <w:t>862 902</w:t>
            </w:r>
          </w:p>
        </w:tc>
        <w:tc>
          <w:tcPr>
            <w:tcW w:w="1378" w:type="dxa"/>
            <w:tcBorders>
              <w:left w:val="single" w:sz="2" w:space="0" w:color="000000"/>
              <w:bottom w:val="single" w:sz="2" w:space="0" w:color="000000"/>
            </w:tcBorders>
          </w:tcPr>
          <w:p w14:paraId="4C277C3F" w14:textId="77777777" w:rsidR="00733190" w:rsidRDefault="00F11E16">
            <w:pPr>
              <w:pStyle w:val="Tabellinnehll"/>
              <w:rPr>
                <w:sz w:val="22"/>
                <w:szCs w:val="22"/>
              </w:rPr>
            </w:pPr>
            <w:r>
              <w:rPr>
                <w:sz w:val="22"/>
                <w:szCs w:val="22"/>
              </w:rPr>
              <w:t>886 614</w:t>
            </w:r>
          </w:p>
        </w:tc>
        <w:tc>
          <w:tcPr>
            <w:tcW w:w="1379" w:type="dxa"/>
            <w:tcBorders>
              <w:left w:val="single" w:sz="2" w:space="0" w:color="000000"/>
              <w:bottom w:val="single" w:sz="2" w:space="0" w:color="000000"/>
            </w:tcBorders>
          </w:tcPr>
          <w:p w14:paraId="21D64951" w14:textId="77777777" w:rsidR="00733190" w:rsidRDefault="00F11E16">
            <w:pPr>
              <w:pStyle w:val="Tabellinnehll"/>
              <w:rPr>
                <w:sz w:val="22"/>
                <w:szCs w:val="22"/>
              </w:rPr>
            </w:pPr>
            <w:r>
              <w:rPr>
                <w:sz w:val="22"/>
                <w:szCs w:val="22"/>
              </w:rPr>
              <w:t>570 000</w:t>
            </w:r>
          </w:p>
        </w:tc>
        <w:tc>
          <w:tcPr>
            <w:tcW w:w="1374" w:type="dxa"/>
            <w:tcBorders>
              <w:left w:val="single" w:sz="2" w:space="0" w:color="000000"/>
              <w:bottom w:val="single" w:sz="2" w:space="0" w:color="000000"/>
            </w:tcBorders>
          </w:tcPr>
          <w:p w14:paraId="34C76664" w14:textId="77777777" w:rsidR="00733190" w:rsidRDefault="00F11E16">
            <w:pPr>
              <w:pStyle w:val="Tabellinnehll"/>
              <w:rPr>
                <w:sz w:val="22"/>
                <w:szCs w:val="22"/>
              </w:rPr>
            </w:pPr>
            <w:r>
              <w:rPr>
                <w:sz w:val="22"/>
                <w:szCs w:val="22"/>
              </w:rPr>
              <w:t>2661</w:t>
            </w:r>
          </w:p>
        </w:tc>
        <w:tc>
          <w:tcPr>
            <w:tcW w:w="1563" w:type="dxa"/>
            <w:tcBorders>
              <w:left w:val="single" w:sz="2" w:space="0" w:color="000000"/>
              <w:bottom w:val="single" w:sz="2" w:space="0" w:color="000000"/>
            </w:tcBorders>
          </w:tcPr>
          <w:p w14:paraId="60AFEC7C" w14:textId="77777777" w:rsidR="00733190" w:rsidRDefault="00F11E16">
            <w:pPr>
              <w:pStyle w:val="Tabellinnehll"/>
              <w:rPr>
                <w:sz w:val="22"/>
                <w:szCs w:val="22"/>
              </w:rPr>
            </w:pPr>
            <w:proofErr w:type="gramStart"/>
            <w:r>
              <w:rPr>
                <w:sz w:val="22"/>
                <w:szCs w:val="22"/>
              </w:rPr>
              <w:t>61463</w:t>
            </w:r>
            <w:proofErr w:type="gramEnd"/>
          </w:p>
        </w:tc>
        <w:tc>
          <w:tcPr>
            <w:tcW w:w="1359" w:type="dxa"/>
            <w:tcBorders>
              <w:left w:val="single" w:sz="2" w:space="0" w:color="000000"/>
              <w:bottom w:val="single" w:sz="2" w:space="0" w:color="000000"/>
              <w:right w:val="single" w:sz="2" w:space="0" w:color="000000"/>
            </w:tcBorders>
          </w:tcPr>
          <w:p w14:paraId="581028F0" w14:textId="77777777" w:rsidR="00733190" w:rsidRDefault="00F11E16">
            <w:pPr>
              <w:pStyle w:val="Tabellinnehll"/>
              <w:rPr>
                <w:sz w:val="22"/>
                <w:szCs w:val="22"/>
              </w:rPr>
            </w:pPr>
            <w:proofErr w:type="gramStart"/>
            <w:r>
              <w:rPr>
                <w:sz w:val="22"/>
                <w:szCs w:val="22"/>
              </w:rPr>
              <w:t>27125</w:t>
            </w:r>
            <w:proofErr w:type="gramEnd"/>
          </w:p>
        </w:tc>
      </w:tr>
      <w:tr w:rsidR="00733190" w14:paraId="2E895983" w14:textId="77777777">
        <w:tc>
          <w:tcPr>
            <w:tcW w:w="1469" w:type="dxa"/>
            <w:tcBorders>
              <w:left w:val="single" w:sz="2" w:space="0" w:color="000000"/>
              <w:bottom w:val="single" w:sz="2" w:space="0" w:color="000000"/>
            </w:tcBorders>
          </w:tcPr>
          <w:p w14:paraId="25660EF3" w14:textId="77777777" w:rsidR="00733190" w:rsidRDefault="00F11E16">
            <w:pPr>
              <w:pStyle w:val="Tabellinnehll"/>
              <w:rPr>
                <w:sz w:val="22"/>
                <w:szCs w:val="22"/>
              </w:rPr>
            </w:pPr>
            <w:r>
              <w:rPr>
                <w:sz w:val="22"/>
                <w:szCs w:val="22"/>
              </w:rPr>
              <w:t>2019</w:t>
            </w:r>
          </w:p>
        </w:tc>
        <w:tc>
          <w:tcPr>
            <w:tcW w:w="1283" w:type="dxa"/>
            <w:tcBorders>
              <w:left w:val="single" w:sz="2" w:space="0" w:color="000000"/>
              <w:bottom w:val="single" w:sz="2" w:space="0" w:color="000000"/>
            </w:tcBorders>
          </w:tcPr>
          <w:p w14:paraId="575844D6" w14:textId="77777777" w:rsidR="00733190" w:rsidRDefault="00F11E16">
            <w:pPr>
              <w:pStyle w:val="Tabellinnehll"/>
              <w:rPr>
                <w:sz w:val="22"/>
                <w:szCs w:val="22"/>
              </w:rPr>
            </w:pPr>
            <w:r>
              <w:rPr>
                <w:sz w:val="22"/>
                <w:szCs w:val="22"/>
              </w:rPr>
              <w:t>1 099 452</w:t>
            </w:r>
          </w:p>
        </w:tc>
        <w:tc>
          <w:tcPr>
            <w:tcW w:w="1378" w:type="dxa"/>
            <w:tcBorders>
              <w:left w:val="single" w:sz="2" w:space="0" w:color="000000"/>
              <w:bottom w:val="single" w:sz="2" w:space="0" w:color="000000"/>
            </w:tcBorders>
          </w:tcPr>
          <w:p w14:paraId="7055A74C" w14:textId="77777777" w:rsidR="00733190" w:rsidRDefault="00733190">
            <w:pPr>
              <w:pStyle w:val="Tabellinnehll"/>
              <w:rPr>
                <w:sz w:val="22"/>
                <w:szCs w:val="22"/>
              </w:rPr>
            </w:pPr>
          </w:p>
        </w:tc>
        <w:tc>
          <w:tcPr>
            <w:tcW w:w="1379" w:type="dxa"/>
            <w:tcBorders>
              <w:left w:val="single" w:sz="2" w:space="0" w:color="000000"/>
              <w:bottom w:val="single" w:sz="2" w:space="0" w:color="000000"/>
            </w:tcBorders>
          </w:tcPr>
          <w:p w14:paraId="20FFFB7B" w14:textId="77777777" w:rsidR="00733190" w:rsidRDefault="00F11E16">
            <w:pPr>
              <w:pStyle w:val="Tabellinnehll"/>
              <w:rPr>
                <w:sz w:val="22"/>
                <w:szCs w:val="22"/>
              </w:rPr>
            </w:pPr>
            <w:r>
              <w:rPr>
                <w:sz w:val="22"/>
                <w:szCs w:val="22"/>
              </w:rPr>
              <w:t>840 000</w:t>
            </w:r>
          </w:p>
        </w:tc>
        <w:tc>
          <w:tcPr>
            <w:tcW w:w="1374" w:type="dxa"/>
            <w:tcBorders>
              <w:left w:val="single" w:sz="2" w:space="0" w:color="000000"/>
              <w:bottom w:val="single" w:sz="2" w:space="0" w:color="000000"/>
            </w:tcBorders>
          </w:tcPr>
          <w:p w14:paraId="175F74AE" w14:textId="77777777" w:rsidR="00733190" w:rsidRDefault="00F11E16">
            <w:pPr>
              <w:pStyle w:val="Tabellinnehll"/>
              <w:rPr>
                <w:sz w:val="22"/>
                <w:szCs w:val="22"/>
              </w:rPr>
            </w:pPr>
            <w:r>
              <w:rPr>
                <w:sz w:val="22"/>
                <w:szCs w:val="22"/>
              </w:rPr>
              <w:t>1635</w:t>
            </w:r>
          </w:p>
        </w:tc>
        <w:tc>
          <w:tcPr>
            <w:tcW w:w="1563" w:type="dxa"/>
            <w:tcBorders>
              <w:left w:val="single" w:sz="2" w:space="0" w:color="000000"/>
              <w:bottom w:val="single" w:sz="2" w:space="0" w:color="000000"/>
            </w:tcBorders>
          </w:tcPr>
          <w:p w14:paraId="440BE644" w14:textId="77777777" w:rsidR="00733190" w:rsidRDefault="00733190">
            <w:pPr>
              <w:pStyle w:val="Tabellinnehll"/>
              <w:rPr>
                <w:sz w:val="22"/>
                <w:szCs w:val="22"/>
              </w:rPr>
            </w:pPr>
          </w:p>
        </w:tc>
        <w:tc>
          <w:tcPr>
            <w:tcW w:w="1359" w:type="dxa"/>
            <w:tcBorders>
              <w:left w:val="single" w:sz="2" w:space="0" w:color="000000"/>
              <w:bottom w:val="single" w:sz="2" w:space="0" w:color="000000"/>
              <w:right w:val="single" w:sz="2" w:space="0" w:color="000000"/>
            </w:tcBorders>
          </w:tcPr>
          <w:p w14:paraId="178D9B3E" w14:textId="77777777" w:rsidR="00733190" w:rsidRDefault="00733190">
            <w:pPr>
              <w:pStyle w:val="Tabellinnehll"/>
              <w:rPr>
                <w:sz w:val="22"/>
                <w:szCs w:val="22"/>
              </w:rPr>
            </w:pPr>
          </w:p>
        </w:tc>
      </w:tr>
      <w:tr w:rsidR="00733190" w14:paraId="34F619AA" w14:textId="77777777">
        <w:tc>
          <w:tcPr>
            <w:tcW w:w="1469" w:type="dxa"/>
            <w:tcBorders>
              <w:left w:val="single" w:sz="2" w:space="0" w:color="000000"/>
              <w:bottom w:val="single" w:sz="2" w:space="0" w:color="000000"/>
            </w:tcBorders>
          </w:tcPr>
          <w:p w14:paraId="663BD513" w14:textId="77777777" w:rsidR="00733190" w:rsidRDefault="00F11E16">
            <w:pPr>
              <w:pStyle w:val="Tabellinnehll"/>
              <w:rPr>
                <w:sz w:val="22"/>
                <w:szCs w:val="22"/>
              </w:rPr>
            </w:pPr>
            <w:r>
              <w:rPr>
                <w:sz w:val="22"/>
                <w:szCs w:val="22"/>
              </w:rPr>
              <w:t>2018</w:t>
            </w:r>
          </w:p>
        </w:tc>
        <w:tc>
          <w:tcPr>
            <w:tcW w:w="1283" w:type="dxa"/>
            <w:tcBorders>
              <w:left w:val="single" w:sz="2" w:space="0" w:color="000000"/>
              <w:bottom w:val="single" w:sz="2" w:space="0" w:color="000000"/>
            </w:tcBorders>
          </w:tcPr>
          <w:p w14:paraId="206A159E" w14:textId="77777777" w:rsidR="00733190" w:rsidRDefault="00F11E16">
            <w:pPr>
              <w:pStyle w:val="Tabellinnehll"/>
              <w:rPr>
                <w:sz w:val="22"/>
                <w:szCs w:val="22"/>
              </w:rPr>
            </w:pPr>
            <w:r>
              <w:rPr>
                <w:sz w:val="22"/>
                <w:szCs w:val="22"/>
              </w:rPr>
              <w:t>1 948 284</w:t>
            </w:r>
          </w:p>
        </w:tc>
        <w:tc>
          <w:tcPr>
            <w:tcW w:w="1378" w:type="dxa"/>
            <w:tcBorders>
              <w:left w:val="single" w:sz="2" w:space="0" w:color="000000"/>
              <w:bottom w:val="single" w:sz="2" w:space="0" w:color="000000"/>
            </w:tcBorders>
          </w:tcPr>
          <w:p w14:paraId="20CC0E77" w14:textId="77777777" w:rsidR="00733190" w:rsidRDefault="00F11E16">
            <w:pPr>
              <w:pStyle w:val="Tabellinnehll"/>
              <w:rPr>
                <w:sz w:val="22"/>
                <w:szCs w:val="22"/>
              </w:rPr>
            </w:pPr>
            <w:r>
              <w:rPr>
                <w:sz w:val="22"/>
                <w:szCs w:val="22"/>
              </w:rPr>
              <w:t>2 128 710</w:t>
            </w:r>
          </w:p>
        </w:tc>
        <w:tc>
          <w:tcPr>
            <w:tcW w:w="1379" w:type="dxa"/>
            <w:tcBorders>
              <w:left w:val="single" w:sz="2" w:space="0" w:color="000000"/>
              <w:bottom w:val="single" w:sz="2" w:space="0" w:color="000000"/>
            </w:tcBorders>
          </w:tcPr>
          <w:p w14:paraId="4F53AA52" w14:textId="77777777" w:rsidR="00733190" w:rsidRDefault="00F11E16">
            <w:pPr>
              <w:pStyle w:val="Tabellinnehll"/>
              <w:rPr>
                <w:sz w:val="22"/>
                <w:szCs w:val="22"/>
              </w:rPr>
            </w:pPr>
            <w:r>
              <w:rPr>
                <w:sz w:val="22"/>
                <w:szCs w:val="22"/>
              </w:rPr>
              <w:t>1 636 264</w:t>
            </w:r>
          </w:p>
        </w:tc>
        <w:tc>
          <w:tcPr>
            <w:tcW w:w="1374" w:type="dxa"/>
            <w:tcBorders>
              <w:left w:val="single" w:sz="2" w:space="0" w:color="000000"/>
              <w:bottom w:val="single" w:sz="2" w:space="0" w:color="000000"/>
            </w:tcBorders>
          </w:tcPr>
          <w:p w14:paraId="57B9E361" w14:textId="77777777" w:rsidR="00733190" w:rsidRDefault="00F11E16">
            <w:pPr>
              <w:pStyle w:val="Tabellinnehll"/>
              <w:rPr>
                <w:sz w:val="22"/>
                <w:szCs w:val="22"/>
              </w:rPr>
            </w:pPr>
            <w:r>
              <w:rPr>
                <w:sz w:val="22"/>
                <w:szCs w:val="22"/>
              </w:rPr>
              <w:t>3942</w:t>
            </w:r>
          </w:p>
        </w:tc>
        <w:tc>
          <w:tcPr>
            <w:tcW w:w="1563" w:type="dxa"/>
            <w:tcBorders>
              <w:left w:val="single" w:sz="2" w:space="0" w:color="000000"/>
              <w:bottom w:val="single" w:sz="2" w:space="0" w:color="000000"/>
            </w:tcBorders>
          </w:tcPr>
          <w:p w14:paraId="1154E70B" w14:textId="77777777" w:rsidR="00733190" w:rsidRDefault="00F11E16">
            <w:pPr>
              <w:pStyle w:val="Tabellinnehll"/>
              <w:rPr>
                <w:sz w:val="22"/>
                <w:szCs w:val="22"/>
              </w:rPr>
            </w:pPr>
            <w:proofErr w:type="gramStart"/>
            <w:r>
              <w:rPr>
                <w:sz w:val="22"/>
                <w:szCs w:val="22"/>
              </w:rPr>
              <w:t>54596</w:t>
            </w:r>
            <w:proofErr w:type="gramEnd"/>
          </w:p>
        </w:tc>
        <w:tc>
          <w:tcPr>
            <w:tcW w:w="1359" w:type="dxa"/>
            <w:tcBorders>
              <w:left w:val="single" w:sz="2" w:space="0" w:color="000000"/>
              <w:bottom w:val="single" w:sz="2" w:space="0" w:color="000000"/>
              <w:right w:val="single" w:sz="2" w:space="0" w:color="000000"/>
            </w:tcBorders>
          </w:tcPr>
          <w:p w14:paraId="01304C91" w14:textId="77777777" w:rsidR="00733190" w:rsidRDefault="00F11E16">
            <w:pPr>
              <w:pStyle w:val="Tabellinnehll"/>
              <w:rPr>
                <w:sz w:val="22"/>
                <w:szCs w:val="22"/>
              </w:rPr>
            </w:pPr>
            <w:proofErr w:type="gramStart"/>
            <w:r>
              <w:rPr>
                <w:sz w:val="22"/>
                <w:szCs w:val="22"/>
              </w:rPr>
              <w:t>29625</w:t>
            </w:r>
            <w:proofErr w:type="gramEnd"/>
          </w:p>
        </w:tc>
      </w:tr>
      <w:tr w:rsidR="00733190" w14:paraId="750F458F" w14:textId="77777777">
        <w:tc>
          <w:tcPr>
            <w:tcW w:w="1469" w:type="dxa"/>
            <w:tcBorders>
              <w:left w:val="single" w:sz="2" w:space="0" w:color="000000"/>
              <w:bottom w:val="single" w:sz="2" w:space="0" w:color="000000"/>
            </w:tcBorders>
          </w:tcPr>
          <w:p w14:paraId="60435112" w14:textId="77777777" w:rsidR="00733190" w:rsidRDefault="00F11E16">
            <w:pPr>
              <w:pStyle w:val="Tabellinnehll"/>
              <w:rPr>
                <w:sz w:val="22"/>
                <w:szCs w:val="22"/>
              </w:rPr>
            </w:pPr>
            <w:r>
              <w:rPr>
                <w:sz w:val="22"/>
                <w:szCs w:val="22"/>
              </w:rPr>
              <w:t>2017</w:t>
            </w:r>
          </w:p>
        </w:tc>
        <w:tc>
          <w:tcPr>
            <w:tcW w:w="1283" w:type="dxa"/>
            <w:tcBorders>
              <w:left w:val="single" w:sz="2" w:space="0" w:color="000000"/>
              <w:bottom w:val="single" w:sz="2" w:space="0" w:color="000000"/>
            </w:tcBorders>
          </w:tcPr>
          <w:p w14:paraId="1189FB5E" w14:textId="77777777" w:rsidR="00733190" w:rsidRDefault="00F11E16">
            <w:pPr>
              <w:pStyle w:val="Tabellinnehll"/>
              <w:rPr>
                <w:sz w:val="22"/>
                <w:szCs w:val="22"/>
              </w:rPr>
            </w:pPr>
            <w:r>
              <w:rPr>
                <w:sz w:val="22"/>
                <w:szCs w:val="22"/>
              </w:rPr>
              <w:t>1 367 928</w:t>
            </w:r>
          </w:p>
        </w:tc>
        <w:tc>
          <w:tcPr>
            <w:tcW w:w="1378" w:type="dxa"/>
            <w:tcBorders>
              <w:left w:val="single" w:sz="2" w:space="0" w:color="000000"/>
              <w:bottom w:val="single" w:sz="2" w:space="0" w:color="000000"/>
            </w:tcBorders>
          </w:tcPr>
          <w:p w14:paraId="757CFC71" w14:textId="77777777" w:rsidR="00733190" w:rsidRDefault="00F11E16">
            <w:pPr>
              <w:pStyle w:val="Tabellinnehll"/>
              <w:rPr>
                <w:sz w:val="22"/>
                <w:szCs w:val="22"/>
              </w:rPr>
            </w:pPr>
            <w:r>
              <w:rPr>
                <w:sz w:val="22"/>
                <w:szCs w:val="22"/>
              </w:rPr>
              <w:t>1 565 563</w:t>
            </w:r>
          </w:p>
        </w:tc>
        <w:tc>
          <w:tcPr>
            <w:tcW w:w="1379" w:type="dxa"/>
            <w:tcBorders>
              <w:left w:val="single" w:sz="2" w:space="0" w:color="000000"/>
              <w:bottom w:val="single" w:sz="2" w:space="0" w:color="000000"/>
            </w:tcBorders>
          </w:tcPr>
          <w:p w14:paraId="56ED7D33" w14:textId="77777777" w:rsidR="00733190" w:rsidRDefault="00F11E16">
            <w:pPr>
              <w:pStyle w:val="Tabellinnehll"/>
              <w:rPr>
                <w:sz w:val="22"/>
                <w:szCs w:val="22"/>
              </w:rPr>
            </w:pPr>
            <w:r>
              <w:rPr>
                <w:sz w:val="22"/>
                <w:szCs w:val="22"/>
              </w:rPr>
              <w:t>997 000</w:t>
            </w:r>
          </w:p>
        </w:tc>
        <w:tc>
          <w:tcPr>
            <w:tcW w:w="1374" w:type="dxa"/>
            <w:tcBorders>
              <w:left w:val="single" w:sz="2" w:space="0" w:color="000000"/>
              <w:bottom w:val="single" w:sz="2" w:space="0" w:color="000000"/>
            </w:tcBorders>
          </w:tcPr>
          <w:p w14:paraId="6FE8FAFF" w14:textId="77777777" w:rsidR="00733190" w:rsidRDefault="00F11E16">
            <w:pPr>
              <w:pStyle w:val="Tabellinnehll"/>
              <w:rPr>
                <w:sz w:val="22"/>
                <w:szCs w:val="22"/>
              </w:rPr>
            </w:pPr>
            <w:r>
              <w:rPr>
                <w:sz w:val="22"/>
                <w:szCs w:val="22"/>
              </w:rPr>
              <w:t>4842</w:t>
            </w:r>
          </w:p>
        </w:tc>
        <w:tc>
          <w:tcPr>
            <w:tcW w:w="1563" w:type="dxa"/>
            <w:tcBorders>
              <w:left w:val="single" w:sz="2" w:space="0" w:color="000000"/>
              <w:bottom w:val="single" w:sz="2" w:space="0" w:color="000000"/>
            </w:tcBorders>
          </w:tcPr>
          <w:p w14:paraId="57F1F0F0" w14:textId="77777777" w:rsidR="00733190" w:rsidRDefault="00F11E16">
            <w:pPr>
              <w:pStyle w:val="Tabellinnehll"/>
              <w:rPr>
                <w:sz w:val="22"/>
                <w:szCs w:val="22"/>
              </w:rPr>
            </w:pPr>
            <w:proofErr w:type="gramStart"/>
            <w:r>
              <w:rPr>
                <w:sz w:val="22"/>
                <w:szCs w:val="22"/>
              </w:rPr>
              <w:t>89600</w:t>
            </w:r>
            <w:proofErr w:type="gramEnd"/>
          </w:p>
        </w:tc>
        <w:tc>
          <w:tcPr>
            <w:tcW w:w="1359" w:type="dxa"/>
            <w:tcBorders>
              <w:left w:val="single" w:sz="2" w:space="0" w:color="000000"/>
              <w:bottom w:val="single" w:sz="2" w:space="0" w:color="000000"/>
              <w:right w:val="single" w:sz="2" w:space="0" w:color="000000"/>
            </w:tcBorders>
          </w:tcPr>
          <w:p w14:paraId="77B4FB07" w14:textId="77777777" w:rsidR="00733190" w:rsidRDefault="00F11E16">
            <w:pPr>
              <w:pStyle w:val="Tabellinnehll"/>
              <w:rPr>
                <w:sz w:val="22"/>
                <w:szCs w:val="22"/>
              </w:rPr>
            </w:pPr>
            <w:proofErr w:type="gramStart"/>
            <w:r>
              <w:rPr>
                <w:sz w:val="22"/>
                <w:szCs w:val="22"/>
              </w:rPr>
              <w:t>60750</w:t>
            </w:r>
            <w:proofErr w:type="gramEnd"/>
          </w:p>
        </w:tc>
      </w:tr>
      <w:tr w:rsidR="00733190" w14:paraId="562D3110" w14:textId="77777777">
        <w:tc>
          <w:tcPr>
            <w:tcW w:w="1469" w:type="dxa"/>
            <w:tcBorders>
              <w:left w:val="single" w:sz="2" w:space="0" w:color="000000"/>
              <w:bottom w:val="single" w:sz="2" w:space="0" w:color="000000"/>
            </w:tcBorders>
          </w:tcPr>
          <w:p w14:paraId="65EC6F44" w14:textId="77777777" w:rsidR="00733190" w:rsidRDefault="00F11E16">
            <w:pPr>
              <w:pStyle w:val="Tabellinnehll"/>
              <w:rPr>
                <w:sz w:val="22"/>
                <w:szCs w:val="22"/>
              </w:rPr>
            </w:pPr>
            <w:r>
              <w:rPr>
                <w:sz w:val="22"/>
                <w:szCs w:val="22"/>
              </w:rPr>
              <w:t>2016</w:t>
            </w:r>
          </w:p>
        </w:tc>
        <w:tc>
          <w:tcPr>
            <w:tcW w:w="1283" w:type="dxa"/>
            <w:tcBorders>
              <w:left w:val="single" w:sz="2" w:space="0" w:color="000000"/>
              <w:bottom w:val="single" w:sz="2" w:space="0" w:color="000000"/>
            </w:tcBorders>
          </w:tcPr>
          <w:p w14:paraId="3A756855" w14:textId="77777777" w:rsidR="00733190" w:rsidRDefault="00733190">
            <w:pPr>
              <w:pStyle w:val="Tabellinnehll"/>
              <w:rPr>
                <w:sz w:val="22"/>
                <w:szCs w:val="22"/>
              </w:rPr>
            </w:pPr>
          </w:p>
        </w:tc>
        <w:tc>
          <w:tcPr>
            <w:tcW w:w="1378" w:type="dxa"/>
            <w:tcBorders>
              <w:left w:val="single" w:sz="2" w:space="0" w:color="000000"/>
              <w:bottom w:val="single" w:sz="2" w:space="0" w:color="000000"/>
            </w:tcBorders>
          </w:tcPr>
          <w:p w14:paraId="45305C8C" w14:textId="77777777" w:rsidR="00733190" w:rsidRDefault="00733190">
            <w:pPr>
              <w:pStyle w:val="Tabellinnehll"/>
              <w:rPr>
                <w:sz w:val="22"/>
                <w:szCs w:val="22"/>
              </w:rPr>
            </w:pPr>
          </w:p>
        </w:tc>
        <w:tc>
          <w:tcPr>
            <w:tcW w:w="1379" w:type="dxa"/>
            <w:tcBorders>
              <w:left w:val="single" w:sz="2" w:space="0" w:color="000000"/>
              <w:bottom w:val="single" w:sz="2" w:space="0" w:color="000000"/>
            </w:tcBorders>
          </w:tcPr>
          <w:p w14:paraId="6B5B2E44" w14:textId="77777777" w:rsidR="00733190" w:rsidRDefault="00F11E16">
            <w:pPr>
              <w:pStyle w:val="Tabellinnehll"/>
              <w:rPr>
                <w:sz w:val="22"/>
                <w:szCs w:val="22"/>
              </w:rPr>
            </w:pPr>
            <w:r>
              <w:rPr>
                <w:sz w:val="22"/>
                <w:szCs w:val="22"/>
              </w:rPr>
              <w:t>375 000</w:t>
            </w:r>
          </w:p>
        </w:tc>
        <w:tc>
          <w:tcPr>
            <w:tcW w:w="1374" w:type="dxa"/>
            <w:tcBorders>
              <w:left w:val="single" w:sz="2" w:space="0" w:color="000000"/>
              <w:bottom w:val="single" w:sz="2" w:space="0" w:color="000000"/>
            </w:tcBorders>
          </w:tcPr>
          <w:p w14:paraId="240AC484" w14:textId="77777777" w:rsidR="00733190" w:rsidRDefault="00733190">
            <w:pPr>
              <w:pStyle w:val="Tabellinnehll"/>
              <w:rPr>
                <w:sz w:val="22"/>
                <w:szCs w:val="22"/>
              </w:rPr>
            </w:pPr>
          </w:p>
        </w:tc>
        <w:tc>
          <w:tcPr>
            <w:tcW w:w="1563" w:type="dxa"/>
            <w:tcBorders>
              <w:left w:val="single" w:sz="2" w:space="0" w:color="000000"/>
              <w:bottom w:val="single" w:sz="2" w:space="0" w:color="000000"/>
            </w:tcBorders>
          </w:tcPr>
          <w:p w14:paraId="4C21BF50" w14:textId="77777777" w:rsidR="00733190" w:rsidRDefault="00733190">
            <w:pPr>
              <w:pStyle w:val="Tabellinnehll"/>
              <w:rPr>
                <w:sz w:val="22"/>
                <w:szCs w:val="22"/>
              </w:rPr>
            </w:pPr>
          </w:p>
        </w:tc>
        <w:tc>
          <w:tcPr>
            <w:tcW w:w="1359" w:type="dxa"/>
            <w:tcBorders>
              <w:left w:val="single" w:sz="2" w:space="0" w:color="000000"/>
              <w:bottom w:val="single" w:sz="2" w:space="0" w:color="000000"/>
              <w:right w:val="single" w:sz="2" w:space="0" w:color="000000"/>
            </w:tcBorders>
          </w:tcPr>
          <w:p w14:paraId="45B54537" w14:textId="77777777" w:rsidR="00733190" w:rsidRDefault="00733190">
            <w:pPr>
              <w:pStyle w:val="Tabellinnehll"/>
              <w:rPr>
                <w:sz w:val="22"/>
                <w:szCs w:val="22"/>
              </w:rPr>
            </w:pPr>
          </w:p>
        </w:tc>
      </w:tr>
    </w:tbl>
    <w:p w14:paraId="1EC003BD" w14:textId="77777777" w:rsidR="00733190" w:rsidRDefault="00733190">
      <w:pPr>
        <w:rPr>
          <w:sz w:val="22"/>
          <w:szCs w:val="22"/>
        </w:rPr>
      </w:pPr>
    </w:p>
    <w:p w14:paraId="475C23BB" w14:textId="77777777" w:rsidR="00733190" w:rsidRDefault="00F11E16">
      <w:pPr>
        <w:rPr>
          <w:sz w:val="22"/>
          <w:szCs w:val="22"/>
        </w:rPr>
      </w:pPr>
      <w:r>
        <w:rPr>
          <w:sz w:val="22"/>
          <w:szCs w:val="22"/>
        </w:rPr>
        <w:t>Omsättning är sålt virke och vindpengar.</w:t>
      </w:r>
    </w:p>
    <w:p w14:paraId="34D38E02" w14:textId="77777777" w:rsidR="00733190" w:rsidRDefault="00F11E16">
      <w:pPr>
        <w:rPr>
          <w:sz w:val="22"/>
          <w:szCs w:val="22"/>
        </w:rPr>
      </w:pPr>
      <w:r>
        <w:rPr>
          <w:sz w:val="22"/>
          <w:szCs w:val="22"/>
        </w:rPr>
        <w:t xml:space="preserve">Bruttovinst är </w:t>
      </w:r>
      <w:proofErr w:type="spellStart"/>
      <w:r>
        <w:rPr>
          <w:sz w:val="22"/>
          <w:szCs w:val="22"/>
        </w:rPr>
        <w:t>inkl</w:t>
      </w:r>
      <w:proofErr w:type="spellEnd"/>
      <w:r>
        <w:rPr>
          <w:sz w:val="22"/>
          <w:szCs w:val="22"/>
        </w:rPr>
        <w:t xml:space="preserve"> hyresintäkter, arrende etc.</w:t>
      </w:r>
    </w:p>
    <w:p w14:paraId="32FBAABC" w14:textId="77777777" w:rsidR="00733190" w:rsidRDefault="00F11E16">
      <w:pPr>
        <w:rPr>
          <w:sz w:val="22"/>
          <w:szCs w:val="22"/>
        </w:rPr>
      </w:pPr>
      <w:r>
        <w:rPr>
          <w:sz w:val="22"/>
          <w:szCs w:val="22"/>
        </w:rPr>
        <w:t>Utdelningen sker året efter räkenskapsåret.</w:t>
      </w:r>
    </w:p>
    <w:p w14:paraId="7BD1B720" w14:textId="77777777" w:rsidR="00733190" w:rsidRDefault="00F11E16">
      <w:pPr>
        <w:rPr>
          <w:sz w:val="22"/>
          <w:szCs w:val="22"/>
        </w:rPr>
      </w:pPr>
      <w:r>
        <w:rPr>
          <w:sz w:val="22"/>
          <w:szCs w:val="22"/>
        </w:rPr>
        <w:t xml:space="preserve">Dessutom finns kostnader för redovisning och revision på drygt </w:t>
      </w:r>
      <w:proofErr w:type="gramStart"/>
      <w:r>
        <w:rPr>
          <w:sz w:val="22"/>
          <w:szCs w:val="22"/>
        </w:rPr>
        <w:t>100000</w:t>
      </w:r>
      <w:proofErr w:type="gramEnd"/>
      <w:r>
        <w:rPr>
          <w:sz w:val="22"/>
          <w:szCs w:val="22"/>
        </w:rPr>
        <w:t xml:space="preserve"> per år.</w:t>
      </w:r>
    </w:p>
    <w:p w14:paraId="376B35BF" w14:textId="77777777" w:rsidR="00733190" w:rsidRDefault="00733190">
      <w:pPr>
        <w:rPr>
          <w:sz w:val="22"/>
          <w:szCs w:val="22"/>
        </w:rPr>
      </w:pPr>
    </w:p>
    <w:p w14:paraId="26F9A240" w14:textId="77777777" w:rsidR="00733190" w:rsidRDefault="00F11E16">
      <w:pPr>
        <w:rPr>
          <w:sz w:val="22"/>
          <w:szCs w:val="22"/>
        </w:rPr>
      </w:pPr>
      <w:r>
        <w:rPr>
          <w:sz w:val="22"/>
          <w:szCs w:val="22"/>
        </w:rPr>
        <w:t xml:space="preserve">Om man </w:t>
      </w:r>
      <w:r>
        <w:rPr>
          <w:sz w:val="22"/>
          <w:szCs w:val="22"/>
        </w:rPr>
        <w:t xml:space="preserve">tar ett snitt på utdelningen på </w:t>
      </w:r>
      <w:proofErr w:type="gramStart"/>
      <w:r>
        <w:rPr>
          <w:sz w:val="22"/>
          <w:szCs w:val="22"/>
        </w:rPr>
        <w:t>900000</w:t>
      </w:r>
      <w:proofErr w:type="gramEnd"/>
      <w:r>
        <w:rPr>
          <w:sz w:val="22"/>
          <w:szCs w:val="22"/>
        </w:rPr>
        <w:t xml:space="preserve"> så ger det en årlig utdelning för en fastighet med andelstalet 0,2%: 1800</w:t>
      </w:r>
    </w:p>
    <w:p w14:paraId="51D23E20" w14:textId="77777777" w:rsidR="00733190" w:rsidRDefault="00733190">
      <w:pPr>
        <w:rPr>
          <w:sz w:val="22"/>
          <w:szCs w:val="22"/>
        </w:rPr>
      </w:pPr>
    </w:p>
    <w:p w14:paraId="09A63968" w14:textId="77777777" w:rsidR="00733190" w:rsidRDefault="00F11E16">
      <w:pPr>
        <w:rPr>
          <w:sz w:val="22"/>
          <w:szCs w:val="22"/>
        </w:rPr>
      </w:pPr>
      <w:r>
        <w:rPr>
          <w:sz w:val="22"/>
          <w:szCs w:val="22"/>
        </w:rPr>
        <w:t>Utdelningen i förhållande till kostnaden för att administrera gemensamhetsskogen känns inte optimalt utan förslaget är att avveckla skogen. Do</w:t>
      </w:r>
      <w:r>
        <w:rPr>
          <w:sz w:val="22"/>
          <w:szCs w:val="22"/>
        </w:rPr>
        <w:t>ck finns en del problem att hantera.</w:t>
      </w:r>
    </w:p>
    <w:p w14:paraId="48F4EDD9" w14:textId="77777777" w:rsidR="00733190" w:rsidRDefault="00F11E16">
      <w:pPr>
        <w:rPr>
          <w:sz w:val="22"/>
          <w:szCs w:val="22"/>
        </w:rPr>
      </w:pPr>
      <w:r>
        <w:rPr>
          <w:sz w:val="22"/>
          <w:szCs w:val="22"/>
        </w:rPr>
        <w:lastRenderedPageBreak/>
        <w:t>Vi har två vindkraftverk på våra ägor.</w:t>
      </w:r>
    </w:p>
    <w:p w14:paraId="775577F8" w14:textId="77777777" w:rsidR="00733190" w:rsidRDefault="00F11E16">
      <w:pPr>
        <w:rPr>
          <w:sz w:val="22"/>
          <w:szCs w:val="22"/>
        </w:rPr>
      </w:pPr>
      <w:r>
        <w:rPr>
          <w:sz w:val="22"/>
          <w:szCs w:val="22"/>
        </w:rPr>
        <w:t>Vi har ett naturvårdsområde, orört, med ett 50-årigt kontrakt, 149 ha.</w:t>
      </w:r>
    </w:p>
    <w:p w14:paraId="24E852A4" w14:textId="77777777" w:rsidR="00733190" w:rsidRDefault="00F11E16">
      <w:pPr>
        <w:rPr>
          <w:sz w:val="22"/>
          <w:szCs w:val="22"/>
        </w:rPr>
      </w:pPr>
      <w:r>
        <w:rPr>
          <w:sz w:val="22"/>
          <w:szCs w:val="22"/>
        </w:rPr>
        <w:t xml:space="preserve">Vi har en fastighet (skogsdelen av kvarnen i </w:t>
      </w:r>
      <w:proofErr w:type="spellStart"/>
      <w:r>
        <w:rPr>
          <w:sz w:val="22"/>
          <w:szCs w:val="22"/>
        </w:rPr>
        <w:t>Mångberg</w:t>
      </w:r>
      <w:proofErr w:type="spellEnd"/>
      <w:r>
        <w:rPr>
          <w:sz w:val="22"/>
          <w:szCs w:val="22"/>
        </w:rPr>
        <w:t xml:space="preserve">) som sitter med </w:t>
      </w:r>
      <w:proofErr w:type="gramStart"/>
      <w:r>
        <w:rPr>
          <w:sz w:val="22"/>
          <w:szCs w:val="22"/>
        </w:rPr>
        <w:t>ett stor andelstal</w:t>
      </w:r>
      <w:proofErr w:type="gramEnd"/>
      <w:r>
        <w:rPr>
          <w:sz w:val="22"/>
          <w:szCs w:val="22"/>
        </w:rPr>
        <w:t xml:space="preserve"> i Jordägarna.</w:t>
      </w:r>
    </w:p>
    <w:p w14:paraId="7FB726A1" w14:textId="77777777" w:rsidR="00733190" w:rsidRDefault="00F11E16">
      <w:pPr>
        <w:rPr>
          <w:sz w:val="22"/>
          <w:szCs w:val="22"/>
        </w:rPr>
      </w:pPr>
      <w:r>
        <w:rPr>
          <w:sz w:val="22"/>
          <w:szCs w:val="22"/>
        </w:rPr>
        <w:t>Vi har</w:t>
      </w:r>
      <w:r>
        <w:rPr>
          <w:sz w:val="22"/>
          <w:szCs w:val="22"/>
        </w:rPr>
        <w:t xml:space="preserve"> en tomt på Sollerön.</w:t>
      </w:r>
    </w:p>
    <w:p w14:paraId="3051F283" w14:textId="77777777" w:rsidR="00733190" w:rsidRDefault="00733190">
      <w:pPr>
        <w:rPr>
          <w:sz w:val="22"/>
          <w:szCs w:val="22"/>
        </w:rPr>
      </w:pPr>
    </w:p>
    <w:p w14:paraId="52D16787" w14:textId="77777777" w:rsidR="00733190" w:rsidRDefault="00F11E16">
      <w:pPr>
        <w:rPr>
          <w:sz w:val="22"/>
          <w:szCs w:val="22"/>
        </w:rPr>
      </w:pPr>
      <w:r>
        <w:rPr>
          <w:sz w:val="22"/>
          <w:szCs w:val="22"/>
        </w:rPr>
        <w:t xml:space="preserve">Ovanstående problem kan tills vidare undantas från utförsäljningen. </w:t>
      </w:r>
    </w:p>
    <w:p w14:paraId="467D7B03" w14:textId="77777777" w:rsidR="00733190" w:rsidRDefault="00733190">
      <w:pPr>
        <w:rPr>
          <w:sz w:val="22"/>
          <w:szCs w:val="22"/>
        </w:rPr>
      </w:pPr>
    </w:p>
    <w:p w14:paraId="56E4FB2E" w14:textId="77777777" w:rsidR="00733190" w:rsidRDefault="00F11E16">
      <w:pPr>
        <w:rPr>
          <w:sz w:val="22"/>
          <w:szCs w:val="22"/>
        </w:rPr>
      </w:pPr>
      <w:r>
        <w:rPr>
          <w:sz w:val="22"/>
          <w:szCs w:val="22"/>
        </w:rPr>
        <w:t>Hur skall vi göra med resten av fastigheten? Jag har ett antal förslag.</w:t>
      </w:r>
    </w:p>
    <w:p w14:paraId="2984EC6D" w14:textId="77777777" w:rsidR="00733190" w:rsidRDefault="00733190">
      <w:pPr>
        <w:rPr>
          <w:sz w:val="22"/>
          <w:szCs w:val="22"/>
        </w:rPr>
      </w:pPr>
    </w:p>
    <w:p w14:paraId="6B6EEDD5" w14:textId="77777777" w:rsidR="00733190" w:rsidRDefault="00F11E16">
      <w:pPr>
        <w:rPr>
          <w:sz w:val="22"/>
          <w:szCs w:val="22"/>
        </w:rPr>
      </w:pPr>
      <w:r>
        <w:rPr>
          <w:sz w:val="22"/>
          <w:szCs w:val="22"/>
        </w:rPr>
        <w:t xml:space="preserve">1. Vi gör </w:t>
      </w:r>
      <w:proofErr w:type="gramStart"/>
      <w:r>
        <w:rPr>
          <w:sz w:val="22"/>
          <w:szCs w:val="22"/>
        </w:rPr>
        <w:t>en lantmäteriförrättningen</w:t>
      </w:r>
      <w:proofErr w:type="gramEnd"/>
      <w:r>
        <w:rPr>
          <w:sz w:val="22"/>
          <w:szCs w:val="22"/>
        </w:rPr>
        <w:t xml:space="preserve"> där vi plockar ur ovanstående fastighet / delar av </w:t>
      </w:r>
      <w:r>
        <w:rPr>
          <w:sz w:val="22"/>
          <w:szCs w:val="22"/>
        </w:rPr>
        <w:t>fastigheten.</w:t>
      </w:r>
    </w:p>
    <w:p w14:paraId="19A6F539" w14:textId="77777777" w:rsidR="00733190" w:rsidRDefault="00F11E16">
      <w:pPr>
        <w:rPr>
          <w:sz w:val="22"/>
          <w:szCs w:val="22"/>
        </w:rPr>
      </w:pPr>
      <w:r>
        <w:rPr>
          <w:sz w:val="22"/>
          <w:szCs w:val="22"/>
        </w:rPr>
        <w:t>Resterande del av</w:t>
      </w:r>
      <w:r>
        <w:rPr>
          <w:sz w:val="22"/>
          <w:szCs w:val="22"/>
        </w:rPr>
        <w:t xml:space="preserve"> fastigheten lämnas till försäljning. Eftersom det är en juridisk organisation som säljer så är det tillåtet för företag att köpa. Detta ger troligen ett (betydligt) högre försäljningspris.</w:t>
      </w:r>
    </w:p>
    <w:p w14:paraId="351A5477" w14:textId="77777777" w:rsidR="00733190" w:rsidRDefault="00733190">
      <w:pPr>
        <w:rPr>
          <w:sz w:val="22"/>
          <w:szCs w:val="22"/>
        </w:rPr>
      </w:pPr>
    </w:p>
    <w:p w14:paraId="4E271B04" w14:textId="77777777" w:rsidR="00733190" w:rsidRDefault="00F11E16">
      <w:pPr>
        <w:rPr>
          <w:sz w:val="22"/>
          <w:szCs w:val="22"/>
        </w:rPr>
      </w:pPr>
      <w:r>
        <w:rPr>
          <w:sz w:val="22"/>
          <w:szCs w:val="22"/>
        </w:rPr>
        <w:t xml:space="preserve">2. Vi gör en lantmäteriförrättning </w:t>
      </w:r>
      <w:r>
        <w:rPr>
          <w:sz w:val="22"/>
          <w:szCs w:val="22"/>
        </w:rPr>
        <w:t>där vi delar upp fastigheten i flera fastigheter och säljer dessa. I första skedet sker försäljningen till enbart andelsägare i gemensamhetsskogen om det finns intresse för det. Priset måste vara marknadsmässigt så att det inte missgynnar de som inte är in</w:t>
      </w:r>
      <w:r>
        <w:rPr>
          <w:sz w:val="22"/>
          <w:szCs w:val="22"/>
        </w:rPr>
        <w:t>tresserade av att förvärva en fastighet. I nästa steg blir försäljni</w:t>
      </w:r>
      <w:r>
        <w:rPr>
          <w:sz w:val="22"/>
          <w:szCs w:val="22"/>
        </w:rPr>
        <w:t>n</w:t>
      </w:r>
      <w:r>
        <w:rPr>
          <w:sz w:val="22"/>
          <w:szCs w:val="22"/>
        </w:rPr>
        <w:t>gen till allmänheten om det finns fastigheter kvar.</w:t>
      </w:r>
    </w:p>
    <w:p w14:paraId="4D4454B9" w14:textId="77777777" w:rsidR="00733190" w:rsidRDefault="00733190">
      <w:pPr>
        <w:rPr>
          <w:sz w:val="22"/>
          <w:szCs w:val="22"/>
        </w:rPr>
      </w:pPr>
    </w:p>
    <w:p w14:paraId="5173291A" w14:textId="77777777" w:rsidR="00733190" w:rsidRDefault="00F11E16">
      <w:pPr>
        <w:rPr>
          <w:sz w:val="22"/>
          <w:szCs w:val="22"/>
        </w:rPr>
      </w:pPr>
      <w:r>
        <w:rPr>
          <w:sz w:val="22"/>
          <w:szCs w:val="22"/>
        </w:rPr>
        <w:t xml:space="preserve">Det finns problem som måste lösas oavsett vilken lösning man väljer. </w:t>
      </w:r>
    </w:p>
    <w:p w14:paraId="49FCB9DD" w14:textId="77777777" w:rsidR="00733190" w:rsidRDefault="00F11E16">
      <w:pPr>
        <w:rPr>
          <w:sz w:val="22"/>
          <w:szCs w:val="22"/>
        </w:rPr>
      </w:pPr>
      <w:r>
        <w:rPr>
          <w:sz w:val="22"/>
          <w:szCs w:val="22"/>
        </w:rPr>
        <w:t>Vilken lösning ger troligen högsta ersättning?</w:t>
      </w:r>
    </w:p>
    <w:p w14:paraId="7F7330F1" w14:textId="77777777" w:rsidR="00733190" w:rsidRDefault="00F11E16">
      <w:pPr>
        <w:rPr>
          <w:sz w:val="22"/>
          <w:szCs w:val="22"/>
        </w:rPr>
      </w:pPr>
      <w:r>
        <w:rPr>
          <w:sz w:val="22"/>
          <w:szCs w:val="22"/>
        </w:rPr>
        <w:t>Hur många fastigh</w:t>
      </w:r>
      <w:r>
        <w:rPr>
          <w:sz w:val="22"/>
          <w:szCs w:val="22"/>
        </w:rPr>
        <w:t>eter kan man släppa till försäljning utan att helt förstöra marknaden?</w:t>
      </w:r>
    </w:p>
    <w:p w14:paraId="01298FB5" w14:textId="77777777" w:rsidR="00733190" w:rsidRDefault="00F11E16">
      <w:pPr>
        <w:rPr>
          <w:sz w:val="22"/>
          <w:szCs w:val="22"/>
        </w:rPr>
      </w:pPr>
      <w:r>
        <w:rPr>
          <w:sz w:val="22"/>
          <w:szCs w:val="22"/>
        </w:rPr>
        <w:t>Skall man bilda nya vägsamfälligheter av de vägar som nu finns inom gemensamhetsskogens område?</w:t>
      </w:r>
    </w:p>
    <w:p w14:paraId="327AB380" w14:textId="77777777" w:rsidR="00733190" w:rsidRDefault="00F11E16">
      <w:pPr>
        <w:rPr>
          <w:sz w:val="22"/>
          <w:szCs w:val="22"/>
        </w:rPr>
      </w:pPr>
      <w:r>
        <w:rPr>
          <w:sz w:val="22"/>
          <w:szCs w:val="22"/>
        </w:rPr>
        <w:t>Är det andra vägsamfälligheter som berörs?</w:t>
      </w:r>
    </w:p>
    <w:p w14:paraId="2844F771" w14:textId="77777777" w:rsidR="00733190" w:rsidRDefault="00F11E16">
      <w:pPr>
        <w:rPr>
          <w:sz w:val="22"/>
          <w:szCs w:val="22"/>
        </w:rPr>
      </w:pPr>
      <w:r>
        <w:rPr>
          <w:sz w:val="22"/>
          <w:szCs w:val="22"/>
        </w:rPr>
        <w:t>Finns det skatteproblem att ta hänsyn till?</w:t>
      </w:r>
    </w:p>
    <w:p w14:paraId="78D56308" w14:textId="77777777" w:rsidR="00733190" w:rsidRDefault="00F11E16">
      <w:pPr>
        <w:rPr>
          <w:sz w:val="22"/>
          <w:szCs w:val="22"/>
        </w:rPr>
      </w:pPr>
      <w:r>
        <w:rPr>
          <w:sz w:val="22"/>
          <w:szCs w:val="22"/>
        </w:rPr>
        <w:t>Ut</w:t>
      </w:r>
      <w:r>
        <w:rPr>
          <w:sz w:val="22"/>
          <w:szCs w:val="22"/>
        </w:rPr>
        <w:t>delning till andelsägarna bör göras under flera år så att det blir lättare att hantera skattekonsekvenserna för var och en.</w:t>
      </w:r>
    </w:p>
    <w:p w14:paraId="2D451C36" w14:textId="77777777" w:rsidR="00733190" w:rsidRDefault="00F11E16">
      <w:pPr>
        <w:rPr>
          <w:sz w:val="22"/>
          <w:szCs w:val="22"/>
        </w:rPr>
      </w:pPr>
      <w:r>
        <w:rPr>
          <w:sz w:val="22"/>
          <w:szCs w:val="22"/>
        </w:rPr>
        <w:t>Allt detta kommer att ta flera år att genomföra.</w:t>
      </w:r>
    </w:p>
    <w:p w14:paraId="4F580DDF" w14:textId="77777777" w:rsidR="00733190" w:rsidRDefault="00733190">
      <w:pPr>
        <w:rPr>
          <w:sz w:val="22"/>
          <w:szCs w:val="22"/>
        </w:rPr>
      </w:pPr>
    </w:p>
    <w:p w14:paraId="0018FE14" w14:textId="77777777" w:rsidR="00733190" w:rsidRDefault="00F11E16">
      <w:pPr>
        <w:rPr>
          <w:sz w:val="22"/>
          <w:szCs w:val="22"/>
        </w:rPr>
      </w:pPr>
      <w:r>
        <w:rPr>
          <w:sz w:val="22"/>
          <w:szCs w:val="22"/>
        </w:rPr>
        <w:t xml:space="preserve">Förslaget är att skapa en arbetsgrupp på ca </w:t>
      </w:r>
      <w:proofErr w:type="gramStart"/>
      <w:r>
        <w:rPr>
          <w:sz w:val="22"/>
          <w:szCs w:val="22"/>
        </w:rPr>
        <w:t>3-5</w:t>
      </w:r>
      <w:proofErr w:type="gramEnd"/>
      <w:r>
        <w:rPr>
          <w:sz w:val="22"/>
          <w:szCs w:val="22"/>
        </w:rPr>
        <w:t xml:space="preserve"> personer (både från styrelsen och </w:t>
      </w:r>
      <w:r>
        <w:rPr>
          <w:sz w:val="22"/>
          <w:szCs w:val="22"/>
        </w:rPr>
        <w:t>övriga) som arbetar fram en förslag där man undersöker intresset, jämför olika alternativ prismässigt och ställer upp en tidsplan. Man tittar också på delarna med vindkraftverk, naturvårdsområdet och kvarnfastigheten om det finns någon annan lösning för de</w:t>
      </w:r>
      <w:r>
        <w:rPr>
          <w:sz w:val="22"/>
          <w:szCs w:val="22"/>
        </w:rPr>
        <w:t>ssa.</w:t>
      </w:r>
    </w:p>
    <w:p w14:paraId="59D8057A" w14:textId="77777777" w:rsidR="00733190" w:rsidRDefault="00733190">
      <w:pPr>
        <w:rPr>
          <w:sz w:val="22"/>
          <w:szCs w:val="22"/>
        </w:rPr>
      </w:pPr>
    </w:p>
    <w:p w14:paraId="4F570CB6" w14:textId="77777777" w:rsidR="00733190" w:rsidRDefault="00F11E16">
      <w:pPr>
        <w:rPr>
          <w:sz w:val="22"/>
          <w:szCs w:val="22"/>
        </w:rPr>
      </w:pPr>
      <w:r>
        <w:rPr>
          <w:sz w:val="22"/>
          <w:szCs w:val="22"/>
        </w:rPr>
        <w:t xml:space="preserve">Ludvig &amp; Co ger varje år ut prisstatistik över de skogsfastigheter de sålt. Den är uppdelad i 10 olika prisområden där Dalarna tillhör område 7. För 2021 har genomsnittspriset beräknats till 459 kr/m3sk. Man skall veta att prisvariationerna är stora </w:t>
      </w:r>
      <w:r>
        <w:rPr>
          <w:sz w:val="22"/>
          <w:szCs w:val="22"/>
        </w:rPr>
        <w:t>beroende på belägenhet, bonitet, tillgång till skogsvägar, avverkningsmogen skog, jakt mm. Om man utgår från genomsnittspriset skulle hela gemensamhetsskogen värderas till ca 98 miljoner kr. Detta ger ca 200 000 kr för ett andelstal i gemensamhetsskogen på</w:t>
      </w:r>
      <w:r>
        <w:rPr>
          <w:sz w:val="22"/>
          <w:szCs w:val="22"/>
        </w:rPr>
        <w:t xml:space="preserve"> 0,20%. Troligtvis blir värdet mindre då boniteten är lägre än genomsnittet. </w:t>
      </w:r>
    </w:p>
    <w:p w14:paraId="598F7F1A" w14:textId="77777777" w:rsidR="00733190" w:rsidRDefault="00733190">
      <w:pPr>
        <w:rPr>
          <w:sz w:val="22"/>
          <w:szCs w:val="22"/>
        </w:rPr>
      </w:pPr>
    </w:p>
    <w:p w14:paraId="710BF23E" w14:textId="77777777" w:rsidR="00733190" w:rsidRDefault="00F11E16">
      <w:pPr>
        <w:rPr>
          <w:sz w:val="22"/>
          <w:szCs w:val="22"/>
        </w:rPr>
      </w:pPr>
      <w:r>
        <w:rPr>
          <w:sz w:val="22"/>
          <w:szCs w:val="22"/>
        </w:rPr>
        <w:t xml:space="preserve">Jämför med en genomsnittlig utdelning på 1800 för samma fastighet så tar det ca 100 år innan man kommit upp till 200 000. </w:t>
      </w:r>
    </w:p>
    <w:p w14:paraId="725920A4" w14:textId="77777777" w:rsidR="00733190" w:rsidRDefault="00733190">
      <w:pPr>
        <w:rPr>
          <w:sz w:val="22"/>
          <w:szCs w:val="22"/>
        </w:rPr>
      </w:pPr>
    </w:p>
    <w:p w14:paraId="604637FA" w14:textId="77777777" w:rsidR="00733190" w:rsidRDefault="00F11E16">
      <w:pPr>
        <w:rPr>
          <w:sz w:val="22"/>
          <w:szCs w:val="22"/>
        </w:rPr>
      </w:pPr>
      <w:r>
        <w:rPr>
          <w:sz w:val="22"/>
          <w:szCs w:val="22"/>
        </w:rPr>
        <w:t>Per-Henry Persson</w:t>
      </w:r>
    </w:p>
    <w:p w14:paraId="00DE4A2A" w14:textId="77777777" w:rsidR="00733190" w:rsidRDefault="00F11E16">
      <w:pPr>
        <w:rPr>
          <w:sz w:val="22"/>
          <w:szCs w:val="22"/>
        </w:rPr>
      </w:pPr>
      <w:proofErr w:type="spellStart"/>
      <w:r>
        <w:rPr>
          <w:sz w:val="22"/>
          <w:szCs w:val="22"/>
        </w:rPr>
        <w:t>Utanmyra</w:t>
      </w:r>
      <w:proofErr w:type="spellEnd"/>
      <w:r>
        <w:rPr>
          <w:sz w:val="22"/>
          <w:szCs w:val="22"/>
        </w:rPr>
        <w:t xml:space="preserve"> 137:3</w:t>
      </w:r>
    </w:p>
    <w:p w14:paraId="6ACFE6A7" w14:textId="77777777" w:rsidR="00733190" w:rsidRDefault="00733190"/>
    <w:p w14:paraId="44D073C1" w14:textId="77777777" w:rsidR="00733190" w:rsidRDefault="00733190"/>
    <w:p w14:paraId="0BF58577" w14:textId="77777777" w:rsidR="00733190" w:rsidRDefault="00733190"/>
    <w:p w14:paraId="650DCB3E" w14:textId="77777777" w:rsidR="00733190" w:rsidRDefault="00733190"/>
    <w:p w14:paraId="5D3AFF62" w14:textId="77777777" w:rsidR="00733190" w:rsidRDefault="00733190"/>
    <w:sectPr w:rsidR="00733190">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190"/>
    <w:rsid w:val="00733190"/>
    <w:rsid w:val="00F11E1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6D01"/>
  <w15:docId w15:val="{9715D373-9B4A-41E0-A583-93304342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2"/>
        <w:sz w:val="24"/>
        <w:szCs w:val="24"/>
        <w:lang w:val="sv-S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Brdtext"/>
    <w:uiPriority w:val="10"/>
    <w:qFormat/>
    <w:pPr>
      <w:keepNext/>
      <w:spacing w:before="240" w:after="120"/>
    </w:pPr>
    <w:rPr>
      <w:rFonts w:ascii="Liberation Sans" w:eastAsia="Microsoft YaHei" w:hAnsi="Liberation Sans"/>
      <w:sz w:val="28"/>
      <w:szCs w:val="28"/>
    </w:rPr>
  </w:style>
  <w:style w:type="paragraph" w:styleId="Brdtext">
    <w:name w:val="Body Text"/>
    <w:basedOn w:val="Normal"/>
    <w:pPr>
      <w:spacing w:after="140" w:line="276" w:lineRule="auto"/>
    </w:pPr>
  </w:style>
  <w:style w:type="paragraph" w:styleId="Lista">
    <w:name w:val="List"/>
    <w:basedOn w:val="Brdtext"/>
  </w:style>
  <w:style w:type="paragraph" w:styleId="Beskrivning">
    <w:name w:val="caption"/>
    <w:basedOn w:val="Normal"/>
    <w:qFormat/>
    <w:pPr>
      <w:suppressLineNumbers/>
      <w:spacing w:before="120" w:after="120"/>
    </w:pPr>
    <w:rPr>
      <w:i/>
      <w:iCs/>
    </w:rPr>
  </w:style>
  <w:style w:type="paragraph" w:customStyle="1" w:styleId="Frteckning">
    <w:name w:val="Förteckning"/>
    <w:basedOn w:val="Normal"/>
    <w:qFormat/>
    <w:pPr>
      <w:suppressLineNumbers/>
    </w:pPr>
  </w:style>
  <w:style w:type="paragraph" w:customStyle="1" w:styleId="Tabellinnehll">
    <w:name w:val="Tabellinnehåll"/>
    <w:basedOn w:val="Normal"/>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4705</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Dahl</dc:creator>
  <dc:description/>
  <cp:lastModifiedBy>Erik Dahl</cp:lastModifiedBy>
  <cp:revision>2</cp:revision>
  <dcterms:created xsi:type="dcterms:W3CDTF">2022-03-30T14:23:00Z</dcterms:created>
  <dcterms:modified xsi:type="dcterms:W3CDTF">2022-03-30T14:23:00Z</dcterms:modified>
  <dc:language>sv-SE</dc:language>
</cp:coreProperties>
</file>